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BoldCondIt" w:hAnsi="MyriadPro-BoldCondIt" w:cs="MyriadPro-BoldCondIt"/>
          <w:b/>
          <w:bCs/>
          <w:i/>
          <w:iCs/>
          <w:sz w:val="28"/>
          <w:szCs w:val="28"/>
        </w:rPr>
      </w:pPr>
      <w:proofErr w:type="spellStart"/>
      <w:r>
        <w:rPr>
          <w:rFonts w:ascii="MyriadPro-BoldCondIt" w:hAnsi="MyriadPro-BoldCondIt" w:cs="MyriadPro-BoldCondIt"/>
          <w:b/>
          <w:bCs/>
          <w:i/>
          <w:iCs/>
          <w:sz w:val="28"/>
          <w:szCs w:val="28"/>
        </w:rPr>
        <w:t>Riassunto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r>
        <w:rPr>
          <w:rFonts w:ascii="MyriadPro-Cond" w:hAnsi="MyriadPro-Cond" w:cs="MyriadPro-Cond"/>
          <w:sz w:val="20"/>
          <w:szCs w:val="20"/>
        </w:rPr>
        <w:t>L’ascomicete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primaverile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Verpa</w:t>
      </w:r>
      <w:proofErr w:type="spellEnd"/>
      <w:r>
        <w:rPr>
          <w:rFonts w:ascii="MyriadPro-CondIt" w:hAnsi="MyriadPro-CondIt" w:cs="MyriadPro-CondIt"/>
          <w:i/>
          <w:iCs/>
          <w:sz w:val="20"/>
          <w:szCs w:val="20"/>
        </w:rPr>
        <w:t xml:space="preserve">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bohemica</w:t>
      </w:r>
      <w:proofErr w:type="spellEnd"/>
      <w:r>
        <w:rPr>
          <w:rFonts w:ascii="MyriadPro-CondIt" w:hAnsi="MyriadPro-CondIt" w:cs="MyriadPro-CondIt"/>
          <w:i/>
          <w:iCs/>
          <w:sz w:val="20"/>
          <w:szCs w:val="20"/>
        </w:rPr>
        <w:t xml:space="preserve"> </w:t>
      </w:r>
      <w:r>
        <w:rPr>
          <w:rFonts w:ascii="MyriadPro-Cond" w:hAnsi="MyriadPro-Cond" w:cs="MyriadPro-Cond"/>
          <w:sz w:val="20"/>
          <w:szCs w:val="20"/>
        </w:rPr>
        <w:t xml:space="preserve">ha </w:t>
      </w:r>
      <w:proofErr w:type="spellStart"/>
      <w:r>
        <w:rPr>
          <w:rFonts w:ascii="MyriadPro-Cond" w:hAnsi="MyriadPro-Cond" w:cs="MyriadPro-Cond"/>
          <w:sz w:val="20"/>
          <w:szCs w:val="20"/>
        </w:rPr>
        <w:t>una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lunga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tradizione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</w:t>
      </w:r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utilizzo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a </w:t>
      </w:r>
      <w:proofErr w:type="spellStart"/>
      <w:r>
        <w:rPr>
          <w:rFonts w:ascii="MyriadPro-Cond" w:hAnsi="MyriadPro-Cond" w:cs="MyriadPro-Cond"/>
          <w:sz w:val="20"/>
          <w:szCs w:val="20"/>
        </w:rPr>
        <w:t>scopo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alimentare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in Emilia-Romagna, dove </w:t>
      </w:r>
      <w:proofErr w:type="spellStart"/>
      <w:r>
        <w:rPr>
          <w:rFonts w:ascii="MyriadPro-Cond" w:hAnsi="MyriadPro-Cond" w:cs="MyriadPro-Cond"/>
          <w:sz w:val="20"/>
          <w:szCs w:val="20"/>
        </w:rPr>
        <w:t>viene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regolarmente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raccolto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, </w:t>
      </w:r>
      <w:proofErr w:type="spellStart"/>
      <w:r>
        <w:rPr>
          <w:rFonts w:ascii="MyriadPro-Cond" w:hAnsi="MyriadPro-Cond" w:cs="MyriadPro-Cond"/>
          <w:sz w:val="20"/>
          <w:szCs w:val="20"/>
        </w:rPr>
        <w:t>consumato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e </w:t>
      </w:r>
      <w:proofErr w:type="spellStart"/>
      <w:r>
        <w:rPr>
          <w:rFonts w:ascii="MyriadPro-Cond" w:hAnsi="MyriadPro-Cond" w:cs="MyriadPro-Cond"/>
          <w:sz w:val="20"/>
          <w:szCs w:val="20"/>
        </w:rPr>
        <w:t>commercializzato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, </w:t>
      </w:r>
      <w:proofErr w:type="spellStart"/>
      <w:r>
        <w:rPr>
          <w:rFonts w:ascii="MyriadPro-Cond" w:hAnsi="MyriadPro-Cond" w:cs="MyriadPro-Cond"/>
          <w:sz w:val="20"/>
          <w:szCs w:val="20"/>
        </w:rPr>
        <w:t>alla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stregua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delle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spugnole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propriamente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dette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(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Morchella</w:t>
      </w:r>
      <w:proofErr w:type="spellEnd"/>
      <w:r>
        <w:rPr>
          <w:rFonts w:ascii="MyriadPro-CondIt" w:hAnsi="MyriadPro-CondIt" w:cs="MyriadPro-CondIt"/>
          <w:i/>
          <w:iCs/>
          <w:sz w:val="20"/>
          <w:szCs w:val="20"/>
        </w:rPr>
        <w:t xml:space="preserve"> </w:t>
      </w:r>
      <w:r>
        <w:rPr>
          <w:rFonts w:ascii="MyriadPro-Cond" w:hAnsi="MyriadPro-Cond" w:cs="MyriadPro-Cond"/>
          <w:sz w:val="20"/>
          <w:szCs w:val="20"/>
        </w:rPr>
        <w:t xml:space="preserve">spp.). </w:t>
      </w:r>
      <w:proofErr w:type="spellStart"/>
      <w:r>
        <w:rPr>
          <w:rFonts w:ascii="MyriadPro-Cond" w:hAnsi="MyriadPro-Cond" w:cs="MyriadPro-Cond"/>
          <w:sz w:val="20"/>
          <w:szCs w:val="20"/>
        </w:rPr>
        <w:t>Purtroppo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r>
        <w:rPr>
          <w:rFonts w:ascii="MyriadPro-CondIt" w:hAnsi="MyriadPro-CondIt" w:cs="MyriadPro-CondIt"/>
          <w:i/>
          <w:iCs/>
          <w:sz w:val="20"/>
          <w:szCs w:val="20"/>
        </w:rPr>
        <w:t xml:space="preserve">V.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bohemica</w:t>
      </w:r>
      <w:proofErr w:type="spellEnd"/>
      <w:r>
        <w:rPr>
          <w:rFonts w:ascii="MyriadPro-CondIt" w:hAnsi="MyriadPro-CondIt" w:cs="MyriadPro-CondIt"/>
          <w:i/>
          <w:iCs/>
          <w:sz w:val="20"/>
          <w:szCs w:val="20"/>
        </w:rPr>
        <w:t xml:space="preserve"> </w:t>
      </w:r>
      <w:r>
        <w:rPr>
          <w:rFonts w:ascii="MyriadPro-Cond" w:hAnsi="MyriadPro-Cond" w:cs="MyriadPro-Cond"/>
          <w:sz w:val="20"/>
          <w:szCs w:val="20"/>
        </w:rPr>
        <w:t>continua</w:t>
      </w:r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gramStart"/>
      <w:r>
        <w:rPr>
          <w:rFonts w:ascii="MyriadPro-Cond" w:hAnsi="MyriadPro-Cond" w:cs="MyriadPro-Cond"/>
          <w:sz w:val="20"/>
          <w:szCs w:val="20"/>
        </w:rPr>
        <w:t>ad</w:t>
      </w:r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essere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elencata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tra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le specie </w:t>
      </w:r>
      <w:proofErr w:type="spellStart"/>
      <w:r>
        <w:rPr>
          <w:rFonts w:ascii="MyriadPro-Cond" w:hAnsi="MyriadPro-Cond" w:cs="MyriadPro-Cond"/>
          <w:sz w:val="20"/>
          <w:szCs w:val="20"/>
        </w:rPr>
        <w:t>sospette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o </w:t>
      </w:r>
      <w:proofErr w:type="spellStart"/>
      <w:r>
        <w:rPr>
          <w:rFonts w:ascii="MyriadPro-Cond" w:hAnsi="MyriadPro-Cond" w:cs="MyriadPro-Cond"/>
          <w:sz w:val="20"/>
          <w:szCs w:val="20"/>
        </w:rPr>
        <w:t>tossiche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nella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maggior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parte</w:t>
      </w:r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dei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testi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nordamericani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ed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extraeuropei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, </w:t>
      </w:r>
      <w:proofErr w:type="spellStart"/>
      <w:r>
        <w:rPr>
          <w:rFonts w:ascii="MyriadPro-Cond" w:hAnsi="MyriadPro-Cond" w:cs="MyriadPro-Cond"/>
          <w:sz w:val="20"/>
          <w:szCs w:val="20"/>
        </w:rPr>
        <w:t>nonostante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la </w:t>
      </w:r>
      <w:proofErr w:type="spellStart"/>
      <w:r>
        <w:rPr>
          <w:rFonts w:ascii="MyriadPro-Cond" w:hAnsi="MyriadPro-Cond" w:cs="MyriadPro-Cond"/>
          <w:sz w:val="20"/>
          <w:szCs w:val="20"/>
        </w:rPr>
        <w:t>mancanza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</w:t>
      </w:r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conferme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analitiche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della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presunta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presenza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 </w:t>
      </w:r>
      <w:proofErr w:type="spellStart"/>
      <w:r>
        <w:rPr>
          <w:rFonts w:ascii="MyriadPro-Cond" w:hAnsi="MyriadPro-Cond" w:cs="MyriadPro-Cond"/>
          <w:sz w:val="20"/>
          <w:szCs w:val="20"/>
        </w:rPr>
        <w:t>tossine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quali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la </w:t>
      </w:r>
      <w:proofErr w:type="spellStart"/>
      <w:r>
        <w:rPr>
          <w:rFonts w:ascii="MyriadPro-Cond" w:hAnsi="MyriadPro-Cond" w:cs="MyriadPro-Cond"/>
          <w:sz w:val="20"/>
          <w:szCs w:val="20"/>
        </w:rPr>
        <w:t>giromitrina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gramStart"/>
      <w:r>
        <w:rPr>
          <w:rFonts w:ascii="MyriadPro-Cond" w:hAnsi="MyriadPro-Cond" w:cs="MyriadPro-Cond"/>
          <w:sz w:val="20"/>
          <w:szCs w:val="20"/>
        </w:rPr>
        <w:t>e</w:t>
      </w:r>
      <w:proofErr w:type="gramEnd"/>
      <w:r>
        <w:rPr>
          <w:rFonts w:ascii="MyriadPro-Cond" w:hAnsi="MyriadPro-Cond" w:cs="MyriadPro-Cond"/>
          <w:sz w:val="20"/>
          <w:szCs w:val="20"/>
        </w:rPr>
        <w:t xml:space="preserve"> la </w:t>
      </w:r>
      <w:proofErr w:type="spellStart"/>
      <w:r>
        <w:rPr>
          <w:rFonts w:ascii="MyriadPro-Cond" w:hAnsi="MyriadPro-Cond" w:cs="MyriadPro-Cond"/>
          <w:sz w:val="20"/>
          <w:szCs w:val="20"/>
        </w:rPr>
        <w:t>coprina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per cui </w:t>
      </w:r>
      <w:r>
        <w:rPr>
          <w:rFonts w:ascii="MyriadPro-CondIt" w:hAnsi="MyriadPro-CondIt" w:cs="MyriadPro-CondIt"/>
          <w:i/>
          <w:iCs/>
          <w:sz w:val="20"/>
          <w:szCs w:val="20"/>
        </w:rPr>
        <w:t xml:space="preserve">V.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bohemica</w:t>
      </w:r>
      <w:proofErr w:type="spellEnd"/>
      <w:r>
        <w:rPr>
          <w:rFonts w:ascii="MyriadPro-CondIt" w:hAnsi="MyriadPro-CondIt" w:cs="MyriadPro-CondIt"/>
          <w:i/>
          <w:iCs/>
          <w:sz w:val="20"/>
          <w:szCs w:val="20"/>
        </w:rPr>
        <w:t xml:space="preserve"> </w:t>
      </w:r>
      <w:r>
        <w:rPr>
          <w:rFonts w:ascii="MyriadPro-Cond" w:hAnsi="MyriadPro-Cond" w:cs="MyriadPro-Cond"/>
          <w:sz w:val="20"/>
          <w:szCs w:val="20"/>
        </w:rPr>
        <w:t xml:space="preserve">è </w:t>
      </w:r>
      <w:proofErr w:type="spellStart"/>
      <w:r>
        <w:rPr>
          <w:rFonts w:ascii="MyriadPro-Cond" w:hAnsi="MyriadPro-Cond" w:cs="MyriadPro-Cond"/>
          <w:sz w:val="20"/>
          <w:szCs w:val="20"/>
        </w:rPr>
        <w:t>stata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accusata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in </w:t>
      </w:r>
      <w:proofErr w:type="spellStart"/>
      <w:r>
        <w:rPr>
          <w:rFonts w:ascii="MyriadPro-Cond" w:hAnsi="MyriadPro-Cond" w:cs="MyriadPro-Cond"/>
          <w:sz w:val="20"/>
          <w:szCs w:val="20"/>
        </w:rPr>
        <w:t>passato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, e </w:t>
      </w:r>
      <w:proofErr w:type="spellStart"/>
      <w:r>
        <w:rPr>
          <w:rFonts w:ascii="MyriadPro-Cond" w:hAnsi="MyriadPro-Cond" w:cs="MyriadPro-Cond"/>
          <w:sz w:val="20"/>
          <w:szCs w:val="20"/>
        </w:rPr>
        <w:t>anche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gramStart"/>
      <w:r>
        <w:rPr>
          <w:rFonts w:ascii="MyriadPro-Cond" w:hAnsi="MyriadPro-Cond" w:cs="MyriadPro-Cond"/>
          <w:sz w:val="20"/>
          <w:szCs w:val="20"/>
        </w:rPr>
        <w:t>in</w:t>
      </w:r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assenza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 </w:t>
      </w:r>
      <w:proofErr w:type="spellStart"/>
      <w:r>
        <w:rPr>
          <w:rFonts w:ascii="MyriadPro-Cond" w:hAnsi="MyriadPro-Cond" w:cs="MyriadPro-Cond"/>
          <w:sz w:val="20"/>
          <w:szCs w:val="20"/>
        </w:rPr>
        <w:t>chiari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indizi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tossicologici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. </w:t>
      </w:r>
      <w:proofErr w:type="spellStart"/>
      <w:r>
        <w:rPr>
          <w:rFonts w:ascii="MyriadPro-Cond" w:hAnsi="MyriadPro-Cond" w:cs="MyriadPro-Cond"/>
          <w:sz w:val="20"/>
          <w:szCs w:val="20"/>
        </w:rPr>
        <w:t>Infatti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, </w:t>
      </w:r>
      <w:proofErr w:type="spellStart"/>
      <w:r>
        <w:rPr>
          <w:rFonts w:ascii="MyriadPro-Cond" w:hAnsi="MyriadPro-Cond" w:cs="MyriadPro-Cond"/>
          <w:sz w:val="20"/>
          <w:szCs w:val="20"/>
        </w:rPr>
        <w:t>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casi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 </w:t>
      </w:r>
      <w:proofErr w:type="spellStart"/>
      <w:r>
        <w:rPr>
          <w:rFonts w:ascii="MyriadPro-Cond" w:hAnsi="MyriadPro-Cond" w:cs="MyriadPro-Cond"/>
          <w:sz w:val="20"/>
          <w:szCs w:val="20"/>
        </w:rPr>
        <w:t>intossicazione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It" w:hAnsi="MyriadPro-CondIt" w:cs="MyriadPro-CondIt"/>
          <w:i/>
          <w:iCs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riportati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in </w:t>
      </w:r>
      <w:proofErr w:type="spellStart"/>
      <w:r>
        <w:rPr>
          <w:rFonts w:ascii="MyriadPro-Cond" w:hAnsi="MyriadPro-Cond" w:cs="MyriadPro-Cond"/>
          <w:sz w:val="20"/>
          <w:szCs w:val="20"/>
        </w:rPr>
        <w:t>passato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in </w:t>
      </w:r>
      <w:proofErr w:type="spellStart"/>
      <w:r>
        <w:rPr>
          <w:rFonts w:ascii="MyriadPro-Cond" w:hAnsi="MyriadPro-Cond" w:cs="MyriadPro-Cond"/>
          <w:sz w:val="20"/>
          <w:szCs w:val="20"/>
        </w:rPr>
        <w:t>letteratura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a </w:t>
      </w:r>
      <w:proofErr w:type="spellStart"/>
      <w:r>
        <w:rPr>
          <w:rFonts w:ascii="MyriadPro-Cond" w:hAnsi="MyriadPro-Cond" w:cs="MyriadPro-Cond"/>
          <w:sz w:val="20"/>
          <w:szCs w:val="20"/>
        </w:rPr>
        <w:t>seguito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del </w:t>
      </w:r>
      <w:proofErr w:type="spellStart"/>
      <w:r>
        <w:rPr>
          <w:rFonts w:ascii="MyriadPro-Cond" w:hAnsi="MyriadPro-Cond" w:cs="MyriadPro-Cond"/>
          <w:sz w:val="20"/>
          <w:szCs w:val="20"/>
        </w:rPr>
        <w:t>consumo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 </w:t>
      </w:r>
      <w:r>
        <w:rPr>
          <w:rFonts w:ascii="MyriadPro-CondIt" w:hAnsi="MyriadPro-CondIt" w:cs="MyriadPro-CondIt"/>
          <w:i/>
          <w:iCs/>
          <w:sz w:val="20"/>
          <w:szCs w:val="20"/>
        </w:rPr>
        <w:t xml:space="preserve">V.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bohemica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devono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essere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piuttosto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ricondotti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ad </w:t>
      </w:r>
      <w:proofErr w:type="spellStart"/>
      <w:r>
        <w:rPr>
          <w:rFonts w:ascii="MyriadPro-Cond" w:hAnsi="MyriadPro-Cond" w:cs="MyriadPro-Cond"/>
          <w:sz w:val="20"/>
          <w:szCs w:val="20"/>
        </w:rPr>
        <w:t>un’errata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interpretazione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della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cosiddetta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sindrome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neurologica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associata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al </w:t>
      </w:r>
      <w:proofErr w:type="spellStart"/>
      <w:r>
        <w:rPr>
          <w:rFonts w:ascii="MyriadPro-Cond" w:hAnsi="MyriadPro-Cond" w:cs="MyriadPro-Cond"/>
          <w:sz w:val="20"/>
          <w:szCs w:val="20"/>
        </w:rPr>
        <w:t>consumo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 </w:t>
      </w:r>
      <w:proofErr w:type="spellStart"/>
      <w:r>
        <w:rPr>
          <w:rFonts w:ascii="MyriadPro-Cond" w:hAnsi="MyriadPro-Cond" w:cs="MyriadPro-Cond"/>
          <w:sz w:val="20"/>
          <w:szCs w:val="20"/>
        </w:rPr>
        <w:t>funghi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del</w:t>
      </w:r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genere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Morchella</w:t>
      </w:r>
      <w:proofErr w:type="spellEnd"/>
      <w:r>
        <w:rPr>
          <w:rFonts w:ascii="MyriadPro-CondIt" w:hAnsi="MyriadPro-CondIt" w:cs="MyriadPro-CondIt"/>
          <w:i/>
          <w:iCs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che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è </w:t>
      </w:r>
      <w:proofErr w:type="spellStart"/>
      <w:r>
        <w:rPr>
          <w:rFonts w:ascii="MyriadPro-Cond" w:hAnsi="MyriadPro-Cond" w:cs="MyriadPro-Cond"/>
          <w:sz w:val="20"/>
          <w:szCs w:val="20"/>
        </w:rPr>
        <w:t>stata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correttamente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caratterizzata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solo in </w:t>
      </w:r>
      <w:proofErr w:type="spellStart"/>
      <w:r>
        <w:rPr>
          <w:rFonts w:ascii="MyriadPro-Cond" w:hAnsi="MyriadPro-Cond" w:cs="MyriadPro-Cond"/>
          <w:sz w:val="20"/>
          <w:szCs w:val="20"/>
        </w:rPr>
        <w:t>anni</w:t>
      </w:r>
      <w:proofErr w:type="spellEnd"/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recenti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. È </w:t>
      </w:r>
      <w:proofErr w:type="spellStart"/>
      <w:r>
        <w:rPr>
          <w:rFonts w:ascii="MyriadPro-Cond" w:hAnsi="MyriadPro-Cond" w:cs="MyriadPro-Cond"/>
          <w:sz w:val="20"/>
          <w:szCs w:val="20"/>
        </w:rPr>
        <w:t>pertanto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necessario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rassicurare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raccoglitori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circa lo status</w:t>
      </w:r>
    </w:p>
    <w:p w:rsidR="00254A28" w:rsidRDefault="00254A28" w:rsidP="00254A28">
      <w:p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0"/>
          <w:szCs w:val="20"/>
        </w:rPr>
      </w:pPr>
      <w:proofErr w:type="gramStart"/>
      <w:r>
        <w:rPr>
          <w:rFonts w:ascii="MyriadPro-Cond" w:hAnsi="MyriadPro-Cond" w:cs="MyriadPro-Cond"/>
          <w:sz w:val="20"/>
          <w:szCs w:val="20"/>
        </w:rPr>
        <w:t>di</w:t>
      </w:r>
      <w:proofErr w:type="gram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commestibilità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di </w:t>
      </w:r>
      <w:r>
        <w:rPr>
          <w:rFonts w:ascii="MyriadPro-CondIt" w:hAnsi="MyriadPro-CondIt" w:cs="MyriadPro-CondIt"/>
          <w:i/>
          <w:iCs/>
          <w:sz w:val="20"/>
          <w:szCs w:val="20"/>
        </w:rPr>
        <w:t xml:space="preserve">V. </w:t>
      </w:r>
      <w:proofErr w:type="spellStart"/>
      <w:r>
        <w:rPr>
          <w:rFonts w:ascii="MyriadPro-CondIt" w:hAnsi="MyriadPro-CondIt" w:cs="MyriadPro-CondIt"/>
          <w:i/>
          <w:iCs/>
          <w:sz w:val="20"/>
          <w:szCs w:val="20"/>
        </w:rPr>
        <w:t>bohemica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, </w:t>
      </w:r>
      <w:proofErr w:type="spellStart"/>
      <w:r>
        <w:rPr>
          <w:rFonts w:ascii="MyriadPro-Cond" w:hAnsi="MyriadPro-Cond" w:cs="MyriadPro-Cond"/>
          <w:sz w:val="20"/>
          <w:szCs w:val="20"/>
        </w:rPr>
        <w:t>che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è da </w:t>
      </w:r>
      <w:proofErr w:type="spellStart"/>
      <w:r>
        <w:rPr>
          <w:rFonts w:ascii="MyriadPro-Cond" w:hAnsi="MyriadPro-Cond" w:cs="MyriadPro-Cond"/>
          <w:sz w:val="20"/>
          <w:szCs w:val="20"/>
        </w:rPr>
        <w:t>considerare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assolutamente</w:t>
      </w:r>
      <w:proofErr w:type="spellEnd"/>
    </w:p>
    <w:p w:rsidR="009F5F08" w:rsidRDefault="00254A28" w:rsidP="00254A28">
      <w:proofErr w:type="spellStart"/>
      <w:proofErr w:type="gramStart"/>
      <w:r>
        <w:rPr>
          <w:rFonts w:ascii="MyriadPro-Cond" w:hAnsi="MyriadPro-Cond" w:cs="MyriadPro-Cond"/>
          <w:sz w:val="20"/>
          <w:szCs w:val="20"/>
        </w:rPr>
        <w:t>identico</w:t>
      </w:r>
      <w:proofErr w:type="spellEnd"/>
      <w:proofErr w:type="gramEnd"/>
      <w:r>
        <w:rPr>
          <w:rFonts w:ascii="MyriadPro-Cond" w:hAnsi="MyriadPro-Cond" w:cs="MyriadPro-Cond"/>
          <w:sz w:val="20"/>
          <w:szCs w:val="20"/>
        </w:rPr>
        <w:t xml:space="preserve"> a </w:t>
      </w:r>
      <w:proofErr w:type="spellStart"/>
      <w:r>
        <w:rPr>
          <w:rFonts w:ascii="MyriadPro-Cond" w:hAnsi="MyriadPro-Cond" w:cs="MyriadPro-Cond"/>
          <w:sz w:val="20"/>
          <w:szCs w:val="20"/>
        </w:rPr>
        <w:t>quello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delle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vere</w:t>
      </w:r>
      <w:proofErr w:type="spellEnd"/>
      <w:r>
        <w:rPr>
          <w:rFonts w:ascii="MyriadPro-Cond" w:hAnsi="MyriadPro-Cond" w:cs="MyriadPro-Cond"/>
          <w:sz w:val="20"/>
          <w:szCs w:val="20"/>
        </w:rPr>
        <w:t xml:space="preserve"> </w:t>
      </w:r>
      <w:proofErr w:type="spellStart"/>
      <w:r>
        <w:rPr>
          <w:rFonts w:ascii="MyriadPro-Cond" w:hAnsi="MyriadPro-Cond" w:cs="MyriadPro-Cond"/>
          <w:sz w:val="20"/>
          <w:szCs w:val="20"/>
        </w:rPr>
        <w:t>spugnole</w:t>
      </w:r>
      <w:proofErr w:type="spellEnd"/>
      <w:r>
        <w:rPr>
          <w:rFonts w:ascii="MyriadPro-Cond" w:hAnsi="MyriadPro-Cond" w:cs="MyriadPro-Cond"/>
          <w:sz w:val="20"/>
          <w:szCs w:val="20"/>
        </w:rPr>
        <w:t>.</w:t>
      </w:r>
      <w:bookmarkStart w:id="0" w:name="_GoBack"/>
      <w:bookmarkEnd w:id="0"/>
    </w:p>
    <w:sectPr w:rsidR="009F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Con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28"/>
    <w:rsid w:val="00090180"/>
    <w:rsid w:val="00254A28"/>
    <w:rsid w:val="003763AE"/>
    <w:rsid w:val="005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Bunyard</dc:creator>
  <cp:lastModifiedBy>Britt Bunyard</cp:lastModifiedBy>
  <cp:revision>1</cp:revision>
  <dcterms:created xsi:type="dcterms:W3CDTF">2015-05-12T00:59:00Z</dcterms:created>
  <dcterms:modified xsi:type="dcterms:W3CDTF">2015-05-12T01:00:00Z</dcterms:modified>
</cp:coreProperties>
</file>